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4E7" w:rsidRPr="009234E7" w:rsidRDefault="009234E7" w:rsidP="005E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ans Regular" w:eastAsia="Times New Roman" w:hAnsi="StobiSans Regular" w:cs="Courier New"/>
          <w:b/>
          <w:sz w:val="24"/>
          <w:szCs w:val="24"/>
        </w:rPr>
      </w:pPr>
      <w:r w:rsidRPr="005E0412">
        <w:rPr>
          <w:rFonts w:ascii="StobiSans Regular" w:eastAsia="Times New Roman" w:hAnsi="StobiSans Regular" w:cs="Courier New"/>
          <w:b/>
          <w:sz w:val="24"/>
          <w:szCs w:val="24"/>
          <w:lang w:val="en"/>
        </w:rPr>
        <w:t>ISSUANCE AND USE OF BINDING ORIGIN INFORMATION</w:t>
      </w:r>
    </w:p>
    <w:p w:rsidR="00E851C3" w:rsidRPr="005E0412" w:rsidRDefault="00E851C3" w:rsidP="005E0412">
      <w:pPr>
        <w:spacing w:after="0" w:line="240" w:lineRule="auto"/>
        <w:jc w:val="both"/>
        <w:rPr>
          <w:rFonts w:ascii="StobiSans Regular" w:hAnsi="StobiSans Regular"/>
          <w:sz w:val="24"/>
          <w:szCs w:val="24"/>
        </w:rPr>
      </w:pPr>
    </w:p>
    <w:p w:rsidR="009234E7" w:rsidRPr="005E0412" w:rsidRDefault="009234E7" w:rsidP="005E0412">
      <w:pPr>
        <w:spacing w:after="0" w:line="240" w:lineRule="auto"/>
        <w:jc w:val="both"/>
        <w:rPr>
          <w:rFonts w:ascii="StobiSans Regular" w:hAnsi="StobiSans Regular"/>
          <w:sz w:val="24"/>
          <w:szCs w:val="24"/>
        </w:rPr>
      </w:pPr>
      <w:r w:rsidRPr="005E0412">
        <w:rPr>
          <w:rFonts w:ascii="StobiSans Regular" w:hAnsi="StobiSans Regular"/>
          <w:sz w:val="24"/>
          <w:szCs w:val="24"/>
        </w:rPr>
        <w:t xml:space="preserve">The legal basis for issuing </w:t>
      </w:r>
      <w:r w:rsidRPr="005E0412">
        <w:rPr>
          <w:rFonts w:ascii="StobiSans Regular" w:hAnsi="StobiSans Regular"/>
          <w:sz w:val="24"/>
          <w:szCs w:val="24"/>
        </w:rPr>
        <w:t>of Binding</w:t>
      </w:r>
      <w:r w:rsidRPr="005E0412">
        <w:rPr>
          <w:rFonts w:ascii="StobiSans Regular" w:hAnsi="StobiSans Regular"/>
          <w:sz w:val="24"/>
          <w:szCs w:val="24"/>
        </w:rPr>
        <w:t xml:space="preserve"> Origin Information (hereinafter referred to as: </w:t>
      </w:r>
      <w:r w:rsidRPr="005E0412">
        <w:rPr>
          <w:rFonts w:ascii="StobiSans Regular" w:hAnsi="StobiSans Regular"/>
          <w:sz w:val="24"/>
          <w:szCs w:val="24"/>
        </w:rPr>
        <w:t>B</w:t>
      </w:r>
      <w:r w:rsidRPr="005E0412">
        <w:rPr>
          <w:rFonts w:ascii="StobiSans Regular" w:hAnsi="StobiSans Regular"/>
          <w:sz w:val="24"/>
          <w:szCs w:val="24"/>
        </w:rPr>
        <w:t>OI) are:</w:t>
      </w:r>
    </w:p>
    <w:p w:rsidR="009234E7" w:rsidRPr="005E0412" w:rsidRDefault="009234E7" w:rsidP="005E0412">
      <w:pPr>
        <w:pStyle w:val="ListParagraph"/>
        <w:numPr>
          <w:ilvl w:val="0"/>
          <w:numId w:val="1"/>
        </w:numPr>
        <w:spacing w:after="0" w:line="240" w:lineRule="auto"/>
        <w:jc w:val="both"/>
        <w:rPr>
          <w:rFonts w:ascii="StobiSans Regular" w:hAnsi="StobiSans Regular"/>
          <w:sz w:val="24"/>
          <w:szCs w:val="24"/>
        </w:rPr>
      </w:pPr>
      <w:r w:rsidRPr="005E0412">
        <w:rPr>
          <w:rFonts w:ascii="StobiSans Regular" w:hAnsi="StobiSans Regular"/>
          <w:sz w:val="24"/>
          <w:szCs w:val="24"/>
        </w:rPr>
        <w:t>Article 10 of the Customs Law</w:t>
      </w:r>
    </w:p>
    <w:p w:rsidR="009234E7" w:rsidRPr="005E0412" w:rsidRDefault="009234E7" w:rsidP="005E0412">
      <w:pPr>
        <w:pStyle w:val="ListParagraph"/>
        <w:numPr>
          <w:ilvl w:val="0"/>
          <w:numId w:val="1"/>
        </w:numPr>
        <w:spacing w:after="0" w:line="240" w:lineRule="auto"/>
        <w:jc w:val="both"/>
        <w:rPr>
          <w:rFonts w:ascii="StobiSans Regular" w:hAnsi="StobiSans Regular"/>
          <w:sz w:val="24"/>
          <w:szCs w:val="24"/>
        </w:rPr>
      </w:pPr>
      <w:r w:rsidRPr="005E0412">
        <w:rPr>
          <w:rFonts w:ascii="StobiSans Regular" w:hAnsi="StobiSans Regular"/>
          <w:sz w:val="24"/>
          <w:szCs w:val="24"/>
        </w:rPr>
        <w:t>Articles 6 to 10 of the Customs Law</w:t>
      </w:r>
      <w:r w:rsidRPr="005E0412">
        <w:rPr>
          <w:rFonts w:ascii="StobiSans Regular" w:hAnsi="StobiSans Regular"/>
          <w:sz w:val="24"/>
          <w:szCs w:val="24"/>
        </w:rPr>
        <w:t xml:space="preserve"> Implementing Regulation</w:t>
      </w:r>
    </w:p>
    <w:p w:rsidR="001671F1" w:rsidRDefault="001671F1" w:rsidP="005E0412">
      <w:pPr>
        <w:spacing w:after="0" w:line="240" w:lineRule="auto"/>
        <w:jc w:val="both"/>
        <w:rPr>
          <w:rFonts w:ascii="StobiSans Regular" w:hAnsi="StobiSans Regular"/>
          <w:b/>
          <w:sz w:val="24"/>
          <w:szCs w:val="24"/>
        </w:rPr>
      </w:pPr>
    </w:p>
    <w:p w:rsidR="005E0412" w:rsidRPr="005E0412" w:rsidRDefault="005E0412" w:rsidP="005E0412">
      <w:pPr>
        <w:spacing w:after="0" w:line="240" w:lineRule="auto"/>
        <w:jc w:val="both"/>
        <w:rPr>
          <w:rFonts w:ascii="StobiSans Regular" w:hAnsi="StobiSans Regular"/>
          <w:b/>
          <w:sz w:val="24"/>
          <w:szCs w:val="24"/>
        </w:rPr>
      </w:pPr>
    </w:p>
    <w:p w:rsidR="009234E7" w:rsidRPr="005E0412" w:rsidRDefault="009234E7" w:rsidP="005E0412">
      <w:pPr>
        <w:spacing w:after="0" w:line="240" w:lineRule="auto"/>
        <w:jc w:val="both"/>
        <w:rPr>
          <w:rFonts w:ascii="StobiSans Regular" w:hAnsi="StobiSans Regular"/>
          <w:b/>
          <w:sz w:val="24"/>
          <w:szCs w:val="24"/>
        </w:rPr>
      </w:pPr>
      <w:r w:rsidRPr="005E0412">
        <w:rPr>
          <w:rFonts w:ascii="StobiSans Regular" w:hAnsi="StobiSans Regular"/>
          <w:b/>
          <w:sz w:val="24"/>
          <w:szCs w:val="24"/>
        </w:rPr>
        <w:t>BOI Application</w:t>
      </w:r>
    </w:p>
    <w:p w:rsidR="001671F1" w:rsidRPr="005E0412" w:rsidRDefault="001671F1" w:rsidP="005E0412">
      <w:pPr>
        <w:spacing w:after="0" w:line="240" w:lineRule="auto"/>
        <w:jc w:val="both"/>
        <w:rPr>
          <w:rFonts w:ascii="StobiSans Regular" w:hAnsi="StobiSans Regular"/>
          <w:sz w:val="24"/>
          <w:szCs w:val="24"/>
        </w:rPr>
      </w:pPr>
    </w:p>
    <w:p w:rsidR="009234E7" w:rsidRPr="005E0412" w:rsidRDefault="009234E7" w:rsidP="005E0412">
      <w:pPr>
        <w:spacing w:after="0" w:line="240" w:lineRule="auto"/>
        <w:jc w:val="both"/>
        <w:rPr>
          <w:rFonts w:ascii="StobiSans Regular" w:hAnsi="StobiSans Regular"/>
          <w:sz w:val="24"/>
          <w:szCs w:val="24"/>
        </w:rPr>
      </w:pPr>
      <w:r w:rsidRPr="005E0412">
        <w:rPr>
          <w:rFonts w:ascii="StobiSans Regular" w:hAnsi="StobiSans Regular"/>
          <w:sz w:val="24"/>
          <w:szCs w:val="24"/>
        </w:rPr>
        <w:t xml:space="preserve">Please find the attached </w:t>
      </w:r>
      <w:r w:rsidRPr="005E0412">
        <w:rPr>
          <w:rFonts w:ascii="StobiSans Regular" w:hAnsi="StobiSans Regular"/>
          <w:b/>
          <w:color w:val="4472C4" w:themeColor="accent1"/>
          <w:sz w:val="24"/>
          <w:szCs w:val="24"/>
          <w:u w:val="single"/>
        </w:rPr>
        <w:t>BOI Application form</w:t>
      </w:r>
      <w:r w:rsidRPr="005E0412">
        <w:rPr>
          <w:rFonts w:ascii="StobiSans Regular" w:hAnsi="StobiSans Regular"/>
          <w:sz w:val="24"/>
          <w:szCs w:val="24"/>
        </w:rPr>
        <w:t>.</w:t>
      </w:r>
    </w:p>
    <w:p w:rsidR="001671F1" w:rsidRPr="005E0412" w:rsidRDefault="001671F1" w:rsidP="005E0412">
      <w:pPr>
        <w:spacing w:after="0" w:line="240" w:lineRule="auto"/>
        <w:jc w:val="both"/>
        <w:rPr>
          <w:rFonts w:ascii="StobiSans Regular" w:hAnsi="StobiSans Regular"/>
          <w:sz w:val="24"/>
          <w:szCs w:val="24"/>
        </w:rPr>
      </w:pPr>
    </w:p>
    <w:p w:rsidR="009234E7" w:rsidRPr="005E0412" w:rsidRDefault="009234E7" w:rsidP="005E0412">
      <w:pPr>
        <w:spacing w:after="0" w:line="240" w:lineRule="auto"/>
        <w:jc w:val="both"/>
        <w:rPr>
          <w:rFonts w:ascii="StobiSans Regular" w:hAnsi="StobiSans Regular"/>
          <w:sz w:val="24"/>
          <w:szCs w:val="24"/>
        </w:rPr>
      </w:pPr>
      <w:r w:rsidRPr="005E0412">
        <w:rPr>
          <w:rFonts w:ascii="StobiSans Regular" w:hAnsi="StobiSans Regular"/>
          <w:sz w:val="24"/>
          <w:szCs w:val="24"/>
        </w:rPr>
        <w:t>Required documents for the application:</w:t>
      </w:r>
    </w:p>
    <w:p w:rsidR="005E0412" w:rsidRPr="005E0412" w:rsidRDefault="009234E7"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the application must be properly completed and submitted by an authorized person,</w:t>
      </w:r>
    </w:p>
    <w:p w:rsidR="009234E7" w:rsidRPr="005E0412" w:rsidRDefault="009234E7"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the application must be related to only one type of goods, the legal basis for acquiring origin (wholly obtained products, last substantial transformation, sufficiently worked or processed products, cumulation of origin or other),</w:t>
      </w:r>
    </w:p>
    <w:p w:rsidR="009234E7" w:rsidRPr="005E0412" w:rsidRDefault="009234E7"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ex-works price of the goods, if required by the rules of origin,</w:t>
      </w:r>
    </w:p>
    <w:p w:rsidR="009234E7" w:rsidRPr="005E0412" w:rsidRDefault="009234E7"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if available, please attach the records to the application, such as: Binding tariff information, samples, photographs, drawings, catalogs, analyses, expert reports or other available documents on the composition of the goods and the materials from which they are composed, the technological process of production of the goods, type, value and origin of the raw materials used and other documents that may help to describe the production process or the operation processing undertaken,</w:t>
      </w:r>
    </w:p>
    <w:p w:rsidR="002165DB" w:rsidRPr="005E0412" w:rsidRDefault="001671F1"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 xml:space="preserve">supporting </w:t>
      </w:r>
      <w:r w:rsidR="002165DB" w:rsidRPr="005E0412">
        <w:rPr>
          <w:rFonts w:ascii="StobiSans Regular" w:hAnsi="StobiSans Regular"/>
          <w:sz w:val="24"/>
          <w:szCs w:val="24"/>
        </w:rPr>
        <w:t xml:space="preserve">documents </w:t>
      </w:r>
      <w:r w:rsidRPr="005E0412">
        <w:rPr>
          <w:rFonts w:ascii="StobiSans Regular" w:hAnsi="StobiSans Regular"/>
          <w:sz w:val="24"/>
          <w:szCs w:val="24"/>
        </w:rPr>
        <w:t>to</w:t>
      </w:r>
      <w:r w:rsidR="002165DB" w:rsidRPr="005E0412">
        <w:rPr>
          <w:rFonts w:ascii="StobiSans Regular" w:hAnsi="StobiSans Regular"/>
          <w:sz w:val="24"/>
          <w:szCs w:val="24"/>
        </w:rPr>
        <w:t xml:space="preserve"> the data specified in the </w:t>
      </w:r>
      <w:r w:rsidRPr="005E0412">
        <w:rPr>
          <w:rFonts w:ascii="StobiSans Regular" w:hAnsi="StobiSans Regular"/>
          <w:sz w:val="24"/>
          <w:szCs w:val="24"/>
        </w:rPr>
        <w:t>application,</w:t>
      </w:r>
      <w:r w:rsidR="002165DB" w:rsidRPr="005E0412">
        <w:rPr>
          <w:rFonts w:ascii="StobiSans Regular" w:hAnsi="StobiSans Regular"/>
          <w:sz w:val="24"/>
          <w:szCs w:val="24"/>
        </w:rPr>
        <w:t xml:space="preserve"> such as: invoices for the purchase of raw materials, import declarations of raw materials, receipts of raw materials, invoices, work orders, standards, shipping documents, laboratory analyses, proof of origin for raw materials used, purchase notes, contracts, export declarations or similar documents,</w:t>
      </w:r>
    </w:p>
    <w:p w:rsidR="001671F1" w:rsidRPr="005E0412" w:rsidRDefault="001671F1"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 xml:space="preserve">the applicant </w:t>
      </w:r>
      <w:r w:rsidRPr="005E0412">
        <w:rPr>
          <w:rFonts w:ascii="StobiSans Regular" w:hAnsi="StobiSans Regular"/>
          <w:sz w:val="24"/>
          <w:szCs w:val="24"/>
        </w:rPr>
        <w:t>regularly</w:t>
      </w:r>
      <w:r w:rsidRPr="005E0412">
        <w:rPr>
          <w:rFonts w:ascii="StobiSans Regular" w:hAnsi="StobiSans Regular"/>
          <w:sz w:val="24"/>
          <w:szCs w:val="24"/>
        </w:rPr>
        <w:t xml:space="preserve"> exports goods,</w:t>
      </w:r>
    </w:p>
    <w:p w:rsidR="001671F1" w:rsidRPr="005E0412" w:rsidRDefault="001671F1"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the applicant has provided consent for a translation into Macedonian of any document attached to the application, if requested,</w:t>
      </w:r>
    </w:p>
    <w:p w:rsidR="001671F1" w:rsidRPr="005E0412" w:rsidRDefault="001671F1" w:rsidP="005E0412">
      <w:pPr>
        <w:pStyle w:val="ListParagraph"/>
        <w:numPr>
          <w:ilvl w:val="0"/>
          <w:numId w:val="5"/>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the applicant has marked the data that is considered confidential in relation to the public or the service, and the applicant has provided consent that the information provided may be placed in a publicly available database of the Customs Administration.</w:t>
      </w:r>
    </w:p>
    <w:p w:rsidR="001671F1" w:rsidRPr="005E0412" w:rsidRDefault="001671F1" w:rsidP="005E0412">
      <w:pPr>
        <w:spacing w:after="0" w:line="240" w:lineRule="auto"/>
        <w:jc w:val="both"/>
        <w:rPr>
          <w:rFonts w:ascii="StobiSans Regular" w:hAnsi="StobiSans Regular"/>
          <w:sz w:val="24"/>
          <w:szCs w:val="24"/>
        </w:rPr>
      </w:pPr>
    </w:p>
    <w:p w:rsidR="001671F1" w:rsidRPr="005E0412" w:rsidRDefault="001671F1" w:rsidP="005E0412">
      <w:pPr>
        <w:spacing w:after="0" w:line="240" w:lineRule="auto"/>
        <w:jc w:val="both"/>
        <w:rPr>
          <w:rFonts w:ascii="StobiSans Regular" w:hAnsi="StobiSans Regular"/>
          <w:sz w:val="24"/>
          <w:szCs w:val="24"/>
        </w:rPr>
      </w:pPr>
    </w:p>
    <w:p w:rsidR="001671F1" w:rsidRPr="005E0412" w:rsidRDefault="001671F1" w:rsidP="005E0412">
      <w:pPr>
        <w:spacing w:after="0" w:line="240" w:lineRule="auto"/>
        <w:jc w:val="both"/>
        <w:rPr>
          <w:rFonts w:ascii="StobiSans Regular" w:hAnsi="StobiSans Regular"/>
          <w:sz w:val="24"/>
          <w:szCs w:val="24"/>
        </w:rPr>
      </w:pPr>
      <w:r w:rsidRPr="005E0412">
        <w:rPr>
          <w:rFonts w:ascii="StobiSans Regular" w:hAnsi="StobiSans Regular"/>
          <w:sz w:val="24"/>
          <w:szCs w:val="24"/>
        </w:rPr>
        <w:t xml:space="preserve">An administrative fee of 350 </w:t>
      </w:r>
      <w:proofErr w:type="spellStart"/>
      <w:r w:rsidRPr="005E0412">
        <w:rPr>
          <w:rFonts w:ascii="StobiSans Regular" w:hAnsi="StobiSans Regular"/>
          <w:sz w:val="24"/>
          <w:szCs w:val="24"/>
        </w:rPr>
        <w:t>denars</w:t>
      </w:r>
      <w:proofErr w:type="spellEnd"/>
      <w:r w:rsidRPr="005E0412">
        <w:rPr>
          <w:rFonts w:ascii="StobiSans Regular" w:hAnsi="StobiSans Regular"/>
          <w:sz w:val="24"/>
          <w:szCs w:val="24"/>
        </w:rPr>
        <w:t xml:space="preserve"> </w:t>
      </w:r>
      <w:r w:rsidR="005E0412">
        <w:rPr>
          <w:rFonts w:ascii="StobiSans Regular" w:hAnsi="StobiSans Regular"/>
          <w:sz w:val="24"/>
          <w:szCs w:val="24"/>
        </w:rPr>
        <w:t xml:space="preserve">(MKD) </w:t>
      </w:r>
      <w:r w:rsidRPr="005E0412">
        <w:rPr>
          <w:rFonts w:ascii="StobiSans Regular" w:hAnsi="StobiSans Regular"/>
          <w:sz w:val="24"/>
          <w:szCs w:val="24"/>
        </w:rPr>
        <w:t xml:space="preserve">is attached to the </w:t>
      </w:r>
      <w:r w:rsidRPr="005E0412">
        <w:rPr>
          <w:rFonts w:ascii="StobiSans Regular" w:hAnsi="StobiSans Regular"/>
          <w:sz w:val="24"/>
          <w:szCs w:val="24"/>
        </w:rPr>
        <w:t>application</w:t>
      </w:r>
      <w:r w:rsidRPr="005E0412">
        <w:rPr>
          <w:rFonts w:ascii="StobiSans Regular" w:hAnsi="StobiSans Regular"/>
          <w:sz w:val="24"/>
          <w:szCs w:val="24"/>
        </w:rPr>
        <w:t xml:space="preserve"> with the following information:</w:t>
      </w:r>
    </w:p>
    <w:p w:rsidR="001671F1" w:rsidRPr="005E0412" w:rsidRDefault="001671F1" w:rsidP="005E0412">
      <w:pPr>
        <w:pStyle w:val="ListParagraph"/>
        <w:numPr>
          <w:ilvl w:val="0"/>
          <w:numId w:val="6"/>
        </w:numPr>
        <w:spacing w:after="0" w:line="240" w:lineRule="auto"/>
        <w:jc w:val="both"/>
        <w:rPr>
          <w:rFonts w:ascii="StobiSans Regular" w:hAnsi="StobiSans Regular"/>
          <w:sz w:val="24"/>
          <w:szCs w:val="24"/>
        </w:rPr>
      </w:pPr>
      <w:r w:rsidRPr="005E0412">
        <w:rPr>
          <w:rFonts w:ascii="StobiSans Regular" w:hAnsi="StobiSans Regular"/>
          <w:sz w:val="24"/>
          <w:szCs w:val="24"/>
        </w:rPr>
        <w:t xml:space="preserve">Purpose of remittance: </w:t>
      </w:r>
      <w:r w:rsidR="005E0412">
        <w:rPr>
          <w:rFonts w:ascii="StobiSans Regular" w:hAnsi="StobiSans Regular"/>
          <w:sz w:val="24"/>
          <w:szCs w:val="24"/>
        </w:rPr>
        <w:t>A</w:t>
      </w:r>
      <w:r w:rsidRPr="005E0412">
        <w:rPr>
          <w:rFonts w:ascii="StobiSans Regular" w:hAnsi="StobiSans Regular"/>
          <w:sz w:val="24"/>
          <w:szCs w:val="24"/>
        </w:rPr>
        <w:t>dministrative fee,</w:t>
      </w:r>
    </w:p>
    <w:p w:rsidR="001671F1" w:rsidRPr="005E0412" w:rsidRDefault="001671F1" w:rsidP="005E0412">
      <w:pPr>
        <w:pStyle w:val="ListParagraph"/>
        <w:numPr>
          <w:ilvl w:val="0"/>
          <w:numId w:val="6"/>
        </w:numPr>
        <w:spacing w:after="0" w:line="240" w:lineRule="auto"/>
        <w:jc w:val="both"/>
        <w:rPr>
          <w:rFonts w:ascii="StobiSans Regular" w:hAnsi="StobiSans Regular"/>
          <w:sz w:val="24"/>
          <w:szCs w:val="24"/>
        </w:rPr>
      </w:pPr>
      <w:r w:rsidRPr="005E0412">
        <w:rPr>
          <w:rFonts w:ascii="StobiSans Regular" w:hAnsi="StobiSans Regular"/>
          <w:sz w:val="24"/>
          <w:szCs w:val="24"/>
        </w:rPr>
        <w:t>Name of recipient: Treasury account,</w:t>
      </w:r>
    </w:p>
    <w:p w:rsidR="001671F1" w:rsidRPr="005E0412" w:rsidRDefault="001671F1" w:rsidP="005E0412">
      <w:pPr>
        <w:pStyle w:val="ListParagraph"/>
        <w:numPr>
          <w:ilvl w:val="0"/>
          <w:numId w:val="6"/>
        </w:numPr>
        <w:spacing w:after="0" w:line="240" w:lineRule="auto"/>
        <w:jc w:val="both"/>
        <w:rPr>
          <w:rFonts w:ascii="StobiSans Regular" w:hAnsi="StobiSans Regular"/>
          <w:sz w:val="24"/>
          <w:szCs w:val="24"/>
        </w:rPr>
      </w:pPr>
      <w:r w:rsidRPr="005E0412">
        <w:rPr>
          <w:rFonts w:ascii="StobiSans Regular" w:hAnsi="StobiSans Regular"/>
          <w:sz w:val="24"/>
          <w:szCs w:val="24"/>
        </w:rPr>
        <w:t>Transaction account: 100000000063095,</w:t>
      </w:r>
    </w:p>
    <w:p w:rsidR="001671F1" w:rsidRPr="005E0412" w:rsidRDefault="001671F1" w:rsidP="005E0412">
      <w:pPr>
        <w:pStyle w:val="ListParagraph"/>
        <w:numPr>
          <w:ilvl w:val="0"/>
          <w:numId w:val="6"/>
        </w:numPr>
        <w:spacing w:after="0" w:line="240" w:lineRule="auto"/>
        <w:jc w:val="both"/>
        <w:rPr>
          <w:rFonts w:ascii="StobiSans Regular" w:hAnsi="StobiSans Regular"/>
          <w:sz w:val="24"/>
          <w:szCs w:val="24"/>
        </w:rPr>
      </w:pPr>
      <w:r w:rsidRPr="005E0412">
        <w:rPr>
          <w:rFonts w:ascii="StobiSans Regular" w:hAnsi="StobiSans Regular"/>
          <w:sz w:val="24"/>
          <w:szCs w:val="24"/>
        </w:rPr>
        <w:t>Payment account 840 xxx 03161,</w:t>
      </w:r>
    </w:p>
    <w:p w:rsidR="001671F1" w:rsidRPr="005E0412" w:rsidRDefault="001671F1" w:rsidP="005E0412">
      <w:pPr>
        <w:pStyle w:val="ListParagraph"/>
        <w:numPr>
          <w:ilvl w:val="0"/>
          <w:numId w:val="6"/>
        </w:numPr>
        <w:spacing w:after="0" w:line="240" w:lineRule="auto"/>
        <w:jc w:val="both"/>
        <w:rPr>
          <w:rFonts w:ascii="StobiSans Regular" w:hAnsi="StobiSans Regular"/>
          <w:sz w:val="24"/>
          <w:szCs w:val="24"/>
        </w:rPr>
      </w:pPr>
      <w:r w:rsidRPr="005E0412">
        <w:rPr>
          <w:rFonts w:ascii="StobiSans Regular" w:hAnsi="StobiSans Regular"/>
          <w:sz w:val="24"/>
          <w:szCs w:val="24"/>
        </w:rPr>
        <w:t>Revenue account 722313 00.</w:t>
      </w:r>
    </w:p>
    <w:p w:rsidR="001671F1" w:rsidRPr="005E0412" w:rsidRDefault="001671F1" w:rsidP="005E0412">
      <w:pPr>
        <w:spacing w:after="0" w:line="240" w:lineRule="auto"/>
        <w:jc w:val="both"/>
        <w:rPr>
          <w:rFonts w:ascii="StobiSans Regular" w:hAnsi="StobiSans Regular"/>
          <w:sz w:val="24"/>
          <w:szCs w:val="24"/>
        </w:rPr>
      </w:pPr>
    </w:p>
    <w:p w:rsidR="009234E7" w:rsidRPr="005E0412" w:rsidRDefault="009234E7" w:rsidP="005E0412">
      <w:pPr>
        <w:spacing w:after="0" w:line="240" w:lineRule="auto"/>
        <w:jc w:val="both"/>
        <w:rPr>
          <w:rFonts w:ascii="StobiSans Regular" w:hAnsi="StobiSans Regular"/>
          <w:sz w:val="24"/>
          <w:szCs w:val="24"/>
        </w:rPr>
      </w:pPr>
    </w:p>
    <w:p w:rsidR="00775179" w:rsidRPr="005E0412" w:rsidRDefault="00775179" w:rsidP="005E0412">
      <w:pPr>
        <w:spacing w:after="0" w:line="240" w:lineRule="auto"/>
        <w:jc w:val="both"/>
        <w:rPr>
          <w:rFonts w:ascii="StobiSans Regular" w:hAnsi="StobiSans Regular"/>
          <w:b/>
          <w:sz w:val="24"/>
          <w:szCs w:val="24"/>
        </w:rPr>
      </w:pPr>
      <w:r w:rsidRPr="005E0412">
        <w:rPr>
          <w:rFonts w:ascii="StobiSans Regular" w:hAnsi="StobiSans Regular"/>
          <w:b/>
          <w:sz w:val="24"/>
          <w:szCs w:val="24"/>
        </w:rPr>
        <w:t xml:space="preserve">Termination of validity or annulment of the </w:t>
      </w:r>
      <w:r w:rsidRPr="005E0412">
        <w:rPr>
          <w:rFonts w:ascii="StobiSans Regular" w:hAnsi="StobiSans Regular"/>
          <w:b/>
          <w:sz w:val="24"/>
          <w:szCs w:val="24"/>
        </w:rPr>
        <w:t>BOI</w:t>
      </w:r>
    </w:p>
    <w:p w:rsidR="00775179" w:rsidRPr="005E0412" w:rsidRDefault="00775179" w:rsidP="005E0412">
      <w:pPr>
        <w:spacing w:after="0" w:line="240" w:lineRule="auto"/>
        <w:jc w:val="both"/>
        <w:rPr>
          <w:rFonts w:ascii="StobiSans Regular" w:hAnsi="StobiSans Regular"/>
          <w:b/>
          <w:sz w:val="24"/>
          <w:szCs w:val="24"/>
        </w:rPr>
      </w:pPr>
    </w:p>
    <w:p w:rsidR="00775179" w:rsidRPr="005E0412" w:rsidRDefault="00775179" w:rsidP="005E0412">
      <w:pPr>
        <w:spacing w:after="0" w:line="240" w:lineRule="auto"/>
        <w:jc w:val="both"/>
        <w:rPr>
          <w:rFonts w:ascii="StobiSans Regular" w:hAnsi="StobiSans Regular"/>
          <w:sz w:val="24"/>
          <w:szCs w:val="24"/>
        </w:rPr>
      </w:pPr>
      <w:r w:rsidRPr="005E0412">
        <w:rPr>
          <w:rFonts w:ascii="StobiSans Regular" w:hAnsi="StobiSans Regular"/>
          <w:sz w:val="24"/>
          <w:szCs w:val="24"/>
        </w:rPr>
        <w:t xml:space="preserve">The </w:t>
      </w:r>
      <w:r w:rsidRPr="005E0412">
        <w:rPr>
          <w:rFonts w:ascii="StobiSans Regular" w:hAnsi="StobiSans Regular"/>
          <w:sz w:val="24"/>
          <w:szCs w:val="24"/>
        </w:rPr>
        <w:t>BOI</w:t>
      </w:r>
      <w:r w:rsidRPr="005E0412">
        <w:rPr>
          <w:rFonts w:ascii="StobiSans Regular" w:hAnsi="StobiSans Regular"/>
          <w:sz w:val="24"/>
          <w:szCs w:val="24"/>
        </w:rPr>
        <w:t xml:space="preserve"> is valid for 3 years from the date of its issuance.</w:t>
      </w:r>
    </w:p>
    <w:p w:rsidR="009234E7" w:rsidRPr="005E0412" w:rsidRDefault="00775179" w:rsidP="005E0412">
      <w:pPr>
        <w:spacing w:after="0" w:line="240" w:lineRule="auto"/>
        <w:jc w:val="both"/>
        <w:rPr>
          <w:rFonts w:ascii="StobiSans Regular" w:hAnsi="StobiSans Regular"/>
          <w:sz w:val="24"/>
          <w:szCs w:val="24"/>
        </w:rPr>
      </w:pPr>
      <w:r w:rsidRPr="005E0412">
        <w:rPr>
          <w:rFonts w:ascii="StobiSans Regular" w:hAnsi="StobiSans Regular"/>
          <w:sz w:val="24"/>
          <w:szCs w:val="24"/>
        </w:rPr>
        <w:t xml:space="preserve">The </w:t>
      </w:r>
      <w:r w:rsidRPr="005E0412">
        <w:rPr>
          <w:rFonts w:ascii="StobiSans Regular" w:hAnsi="StobiSans Regular"/>
          <w:sz w:val="24"/>
          <w:szCs w:val="24"/>
        </w:rPr>
        <w:t>BOI</w:t>
      </w:r>
      <w:r w:rsidRPr="005E0412">
        <w:rPr>
          <w:rFonts w:ascii="StobiSans Regular" w:hAnsi="StobiSans Regular"/>
          <w:sz w:val="24"/>
          <w:szCs w:val="24"/>
        </w:rPr>
        <w:t xml:space="preserve"> ceases to be valid when new regulations are adopted or the regulations on the basis of which it was</w:t>
      </w:r>
      <w:r w:rsidRPr="005E0412">
        <w:rPr>
          <w:rFonts w:ascii="StobiSans Regular" w:hAnsi="StobiSans Regular"/>
          <w:sz w:val="24"/>
          <w:szCs w:val="24"/>
        </w:rPr>
        <w:t xml:space="preserve"> </w:t>
      </w:r>
      <w:r w:rsidRPr="005E0412">
        <w:rPr>
          <w:rFonts w:ascii="StobiSans Regular" w:hAnsi="StobiSans Regular"/>
          <w:sz w:val="24"/>
          <w:szCs w:val="24"/>
        </w:rPr>
        <w:t xml:space="preserve">issued are amended, as well as when the </w:t>
      </w:r>
      <w:r w:rsidRPr="005E0412">
        <w:rPr>
          <w:rFonts w:ascii="StobiSans Regular" w:hAnsi="StobiSans Regular"/>
          <w:sz w:val="24"/>
          <w:szCs w:val="24"/>
        </w:rPr>
        <w:t>BOI</w:t>
      </w:r>
      <w:r w:rsidRPr="005E0412">
        <w:rPr>
          <w:rFonts w:ascii="StobiSans Regular" w:hAnsi="StobiSans Regular"/>
          <w:sz w:val="24"/>
          <w:szCs w:val="24"/>
        </w:rPr>
        <w:t xml:space="preserve"> is no longer in accordance with:</w:t>
      </w:r>
    </w:p>
    <w:p w:rsidR="00775179" w:rsidRPr="005E0412" w:rsidRDefault="00775179" w:rsidP="005E0412">
      <w:pPr>
        <w:pStyle w:val="ListParagraph"/>
        <w:numPr>
          <w:ilvl w:val="0"/>
          <w:numId w:val="7"/>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the provisions of the Free Trade Agreements or the Regional Convention on Pan-Euro-Mediterranean Preferential Rules of Origin,</w:t>
      </w:r>
    </w:p>
    <w:p w:rsidR="00775179" w:rsidRPr="005E0412" w:rsidRDefault="00775179" w:rsidP="005E0412">
      <w:pPr>
        <w:pStyle w:val="ListParagraph"/>
        <w:numPr>
          <w:ilvl w:val="0"/>
          <w:numId w:val="7"/>
        </w:numPr>
        <w:spacing w:before="120" w:after="120" w:line="240" w:lineRule="auto"/>
        <w:contextualSpacing w:val="0"/>
        <w:jc w:val="both"/>
        <w:rPr>
          <w:rFonts w:ascii="StobiSans Regular" w:hAnsi="StobiSans Regular"/>
          <w:sz w:val="24"/>
          <w:szCs w:val="24"/>
        </w:rPr>
      </w:pPr>
      <w:r w:rsidRPr="005E0412">
        <w:rPr>
          <w:rFonts w:ascii="StobiSans Regular" w:hAnsi="StobiSans Regular"/>
          <w:sz w:val="24"/>
          <w:szCs w:val="24"/>
        </w:rPr>
        <w:t>comments or opinions issued for the interpretation of the rules of origin or for the decision issued by a competent court,</w:t>
      </w:r>
    </w:p>
    <w:p w:rsidR="00775179" w:rsidRPr="005E0412" w:rsidRDefault="00775179" w:rsidP="005E0412">
      <w:pPr>
        <w:pStyle w:val="ListParagraph"/>
        <w:numPr>
          <w:ilvl w:val="0"/>
          <w:numId w:val="7"/>
        </w:numPr>
        <w:spacing w:before="120" w:after="120"/>
        <w:contextualSpacing w:val="0"/>
        <w:jc w:val="both"/>
        <w:rPr>
          <w:rFonts w:ascii="StobiSans Regular" w:hAnsi="StobiSans Regular"/>
          <w:sz w:val="24"/>
          <w:szCs w:val="24"/>
        </w:rPr>
      </w:pPr>
      <w:r w:rsidRPr="005E0412">
        <w:rPr>
          <w:rFonts w:ascii="StobiSans Regular" w:hAnsi="StobiSans Regular"/>
          <w:sz w:val="24"/>
          <w:szCs w:val="24"/>
        </w:rPr>
        <w:t>the provisions of the Agreement on Rules of Origin of the World Trade Organization or the commentary</w:t>
      </w:r>
      <w:r w:rsidR="005E0412" w:rsidRPr="005E0412">
        <w:rPr>
          <w:rFonts w:ascii="StobiSans Regular" w:hAnsi="StobiSans Regular"/>
          <w:sz w:val="24"/>
          <w:szCs w:val="24"/>
        </w:rPr>
        <w:t xml:space="preserve"> notes</w:t>
      </w:r>
      <w:r w:rsidRPr="005E0412">
        <w:rPr>
          <w:rFonts w:ascii="StobiSans Regular" w:hAnsi="StobiSans Regular"/>
          <w:sz w:val="24"/>
          <w:szCs w:val="24"/>
        </w:rPr>
        <w:t xml:space="preserve"> or opinions on origin adopted for the purpose of interpreting that Agreement.</w:t>
      </w:r>
    </w:p>
    <w:p w:rsidR="00775179" w:rsidRPr="005E0412" w:rsidRDefault="00775179" w:rsidP="005E0412">
      <w:pPr>
        <w:pStyle w:val="ListParagraph"/>
        <w:spacing w:after="0" w:line="240" w:lineRule="auto"/>
        <w:jc w:val="both"/>
        <w:rPr>
          <w:rFonts w:ascii="StobiSans Regular" w:hAnsi="StobiSans Regular"/>
          <w:sz w:val="24"/>
          <w:szCs w:val="24"/>
        </w:rPr>
      </w:pPr>
      <w:bookmarkStart w:id="0" w:name="_GoBack"/>
      <w:bookmarkEnd w:id="0"/>
    </w:p>
    <w:sectPr w:rsidR="00775179" w:rsidRPr="005E0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1D0"/>
    <w:multiLevelType w:val="hybridMultilevel"/>
    <w:tmpl w:val="20C21AAC"/>
    <w:lvl w:ilvl="0" w:tplc="2390C960">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41D0"/>
    <w:multiLevelType w:val="hybridMultilevel"/>
    <w:tmpl w:val="7EFE4EAC"/>
    <w:lvl w:ilvl="0" w:tplc="329AC2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62A13"/>
    <w:multiLevelType w:val="hybridMultilevel"/>
    <w:tmpl w:val="979E1402"/>
    <w:lvl w:ilvl="0" w:tplc="91BC57D6">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B2426"/>
    <w:multiLevelType w:val="hybridMultilevel"/>
    <w:tmpl w:val="E986623A"/>
    <w:lvl w:ilvl="0" w:tplc="E1E6F880">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60175"/>
    <w:multiLevelType w:val="hybridMultilevel"/>
    <w:tmpl w:val="38988D02"/>
    <w:lvl w:ilvl="0" w:tplc="91BC57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427C0"/>
    <w:multiLevelType w:val="hybridMultilevel"/>
    <w:tmpl w:val="303A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00CCD"/>
    <w:multiLevelType w:val="hybridMultilevel"/>
    <w:tmpl w:val="86F85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E7"/>
    <w:rsid w:val="001671F1"/>
    <w:rsid w:val="002165DB"/>
    <w:rsid w:val="005E0412"/>
    <w:rsid w:val="00775179"/>
    <w:rsid w:val="009234E7"/>
    <w:rsid w:val="00DB7AD5"/>
    <w:rsid w:val="00E851C3"/>
    <w:rsid w:val="00F6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7D99"/>
  <w15:chartTrackingRefBased/>
  <w15:docId w15:val="{1CD830F1-7531-4EDA-A1F6-CE58B86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3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34E7"/>
    <w:rPr>
      <w:rFonts w:ascii="Courier New" w:eastAsia="Times New Roman" w:hAnsi="Courier New" w:cs="Courier New"/>
      <w:sz w:val="20"/>
      <w:szCs w:val="20"/>
    </w:rPr>
  </w:style>
  <w:style w:type="character" w:customStyle="1" w:styleId="y2iqfc">
    <w:name w:val="y2iqfc"/>
    <w:basedOn w:val="DefaultParagraphFont"/>
    <w:rsid w:val="009234E7"/>
  </w:style>
  <w:style w:type="paragraph" w:styleId="ListParagraph">
    <w:name w:val="List Paragraph"/>
    <w:basedOn w:val="Normal"/>
    <w:uiPriority w:val="34"/>
    <w:qFormat/>
    <w:rsid w:val="00923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97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Ivanovski</dc:creator>
  <cp:keywords/>
  <dc:description/>
  <cp:lastModifiedBy>Dragan Ivanovski</cp:lastModifiedBy>
  <cp:revision>3</cp:revision>
  <dcterms:created xsi:type="dcterms:W3CDTF">2025-07-25T12:14:00Z</dcterms:created>
  <dcterms:modified xsi:type="dcterms:W3CDTF">2025-07-25T12:38:00Z</dcterms:modified>
</cp:coreProperties>
</file>